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ind w:firstLine="2711" w:firstLineChars="900"/>
        <w:rPr>
          <w:rFonts w:hint="eastAsia" w:ascii="宋体" w:hAnsi="宋体" w:eastAsia="宋体" w:cs="宋体"/>
          <w:b/>
          <w:bCs/>
          <w:sz w:val="30"/>
          <w:szCs w:val="30"/>
        </w:rPr>
      </w:pPr>
      <w:r>
        <w:rPr>
          <w:rFonts w:hint="eastAsia" w:ascii="宋体" w:hAnsi="宋体" w:eastAsia="宋体"/>
          <w:b/>
          <w:sz w:val="30"/>
          <w:szCs w:val="30"/>
        </w:rPr>
        <w:t>评 分 标 准</w:t>
      </w:r>
    </w:p>
    <w:p>
      <w:pPr>
        <w:ind w:firstLine="480" w:firstLineChars="200"/>
        <w:rPr>
          <w:rFonts w:ascii="宋体" w:hAnsi="宋体"/>
          <w:sz w:val="24"/>
        </w:rPr>
      </w:pPr>
      <w:r>
        <w:rPr>
          <w:rFonts w:hint="eastAsia" w:ascii="宋体" w:hAnsi="宋体"/>
          <w:sz w:val="24"/>
        </w:rPr>
        <w:t>本项目采用综合评分法，总分为100分，按评审后得分由高到低顺序排列，得分相同的，按投标报价由低到高顺序排列，得分且投标报价相同的，按实施方案优劣顺序排列，由评标委员会推荐排名第一的为中标候选人。评标委员会认为投标人的报价明显低于其他通过符合性审查投标人的报价，由可能影响产品质量或者不能诚信履约的，评委委员会有权要求其在评标现场合理的时间内提供书面说明，必要时提交相关证明材料；投标人不能证明其报价合理性的，评标委员会将其作为无效投标处理。具体打分办法如下：</w:t>
      </w:r>
    </w:p>
    <w:p>
      <w:pPr>
        <w:rPr>
          <w:rFonts w:ascii="宋体" w:hAnsi="宋体"/>
          <w:sz w:val="24"/>
        </w:rPr>
      </w:pPr>
    </w:p>
    <w:tbl>
      <w:tblPr>
        <w:tblStyle w:val="14"/>
        <w:tblpPr w:leftFromText="180" w:rightFromText="180" w:vertAnchor="text" w:horzAnchor="margin" w:tblpY="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198"/>
        <w:gridCol w:w="973"/>
        <w:gridCol w:w="927"/>
        <w:gridCol w:w="3327"/>
        <w:gridCol w:w="75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序号</w:t>
            </w:r>
          </w:p>
        </w:tc>
        <w:tc>
          <w:tcPr>
            <w:tcW w:w="7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评分</w:t>
            </w:r>
          </w:p>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因素</w:t>
            </w:r>
          </w:p>
        </w:tc>
        <w:tc>
          <w:tcPr>
            <w:tcW w:w="3511"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2400" w:firstLineChars="1000"/>
              <w:jc w:val="left"/>
              <w:rPr>
                <w:rFonts w:ascii="宋体" w:hAnsi="宋体" w:cs="微软雅黑"/>
                <w:color w:val="000000"/>
                <w:sz w:val="24"/>
              </w:rPr>
            </w:pPr>
            <w:r>
              <w:rPr>
                <w:rFonts w:hint="eastAsia" w:ascii="宋体" w:hAnsi="宋体" w:cs="微软雅黑"/>
                <w:color w:val="000000"/>
                <w:sz w:val="24"/>
              </w:rPr>
              <w:t>评审标准</w:t>
            </w:r>
          </w:p>
        </w:tc>
        <w:tc>
          <w:tcPr>
            <w:tcW w:w="42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5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1</w:t>
            </w:r>
          </w:p>
        </w:tc>
        <w:tc>
          <w:tcPr>
            <w:tcW w:w="7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jc w:val="left"/>
              <w:rPr>
                <w:rFonts w:hint="eastAsia" w:ascii="宋体" w:hAnsi="宋体" w:cs="微软雅黑"/>
                <w:color w:val="000000"/>
                <w:sz w:val="24"/>
              </w:rPr>
            </w:pPr>
            <w:r>
              <w:rPr>
                <w:rFonts w:hint="eastAsia" w:ascii="宋体" w:hAnsi="宋体" w:cs="微软雅黑"/>
                <w:color w:val="000000"/>
                <w:sz w:val="24"/>
              </w:rPr>
              <w:t>价格</w:t>
            </w:r>
          </w:p>
          <w:p>
            <w:pPr>
              <w:adjustRightInd w:val="0"/>
              <w:snapToGrid w:val="0"/>
              <w:spacing w:line="360" w:lineRule="auto"/>
              <w:jc w:val="left"/>
              <w:rPr>
                <w:rFonts w:ascii="宋体" w:hAnsi="宋体" w:cs="微软雅黑"/>
                <w:color w:val="000000"/>
                <w:sz w:val="24"/>
              </w:rPr>
            </w:pPr>
            <w:r>
              <w:rPr>
                <w:rFonts w:hint="eastAsia" w:ascii="宋体" w:hAnsi="宋体" w:cs="微软雅黑"/>
                <w:color w:val="000000"/>
                <w:sz w:val="24"/>
              </w:rPr>
              <w:t>（30分）</w:t>
            </w:r>
          </w:p>
        </w:tc>
        <w:tc>
          <w:tcPr>
            <w:tcW w:w="3511" w:type="pct"/>
            <w:gridSpan w:val="4"/>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sz w:val="24"/>
              </w:rPr>
            </w:pPr>
            <w:r>
              <w:rPr>
                <w:rFonts w:hint="eastAsia" w:ascii="宋体" w:hAnsi="宋体"/>
                <w:sz w:val="24"/>
              </w:rPr>
              <w:t>本次招标，以进入详细评审的各投标人评标价的最低值为A值，A值为价格分的满分。其他投标人的价格分统一按照以下公式计算：投标人评标价得分=（A/该投标人评标价）</w:t>
            </w:r>
            <w:r>
              <w:rPr>
                <w:rFonts w:hint="eastAsia" w:ascii="宋体" w:hAnsi="宋体"/>
                <w:color w:val="000000"/>
                <w:sz w:val="24"/>
              </w:rPr>
              <w:t>×30</w:t>
            </w:r>
            <w:r>
              <w:rPr>
                <w:rFonts w:hint="eastAsia" w:ascii="宋体" w:hAnsi="宋体"/>
                <w:sz w:val="24"/>
              </w:rPr>
              <w:t>（保留小数点后两位）</w:t>
            </w:r>
          </w:p>
          <w:p>
            <w:pPr>
              <w:adjustRightInd w:val="0"/>
              <w:snapToGrid w:val="0"/>
              <w:spacing w:line="360" w:lineRule="auto"/>
              <w:rPr>
                <w:rFonts w:ascii="宋体" w:hAnsi="宋体"/>
                <w:color w:val="000000"/>
                <w:sz w:val="24"/>
              </w:rPr>
            </w:pPr>
          </w:p>
        </w:tc>
        <w:tc>
          <w:tcPr>
            <w:tcW w:w="42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8"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2</w:t>
            </w:r>
          </w:p>
        </w:tc>
        <w:tc>
          <w:tcPr>
            <w:tcW w:w="703" w:type="pct"/>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承诺书（10分）</w:t>
            </w:r>
          </w:p>
        </w:tc>
        <w:tc>
          <w:tcPr>
            <w:tcW w:w="5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cs="微软雅黑"/>
                <w:bCs/>
                <w:color w:val="000000"/>
                <w:sz w:val="24"/>
              </w:rPr>
              <w:t>2.1响应时间</w:t>
            </w:r>
          </w:p>
        </w:tc>
        <w:tc>
          <w:tcPr>
            <w:tcW w:w="2496" w:type="pct"/>
            <w:gridSpan w:val="2"/>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color w:val="000000"/>
                <w:sz w:val="24"/>
              </w:rPr>
              <w:t>自校方发出旅游安排通知后，三天内响应得4分，五天内响应得2分，超过五天不得分。提供承诺函。</w:t>
            </w:r>
          </w:p>
        </w:tc>
        <w:tc>
          <w:tcPr>
            <w:tcW w:w="445" w:type="pc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cs="微软雅黑"/>
                <w:bCs/>
                <w:color w:val="000000"/>
                <w:sz w:val="24"/>
              </w:rPr>
              <w:t>4分</w:t>
            </w:r>
          </w:p>
        </w:tc>
        <w:tc>
          <w:tcPr>
            <w:tcW w:w="427"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8" w:type="pct"/>
            <w:vMerge w:val="continue"/>
            <w:tcBorders>
              <w:left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color w:val="000000"/>
                <w:sz w:val="24"/>
              </w:rPr>
            </w:pPr>
          </w:p>
        </w:tc>
        <w:tc>
          <w:tcPr>
            <w:tcW w:w="703" w:type="pct"/>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cs="微软雅黑"/>
                <w:color w:val="000000"/>
                <w:sz w:val="24"/>
              </w:rPr>
            </w:pPr>
          </w:p>
        </w:tc>
        <w:tc>
          <w:tcPr>
            <w:tcW w:w="571" w:type="pc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cs="微软雅黑"/>
                <w:bCs/>
                <w:color w:val="000000"/>
                <w:sz w:val="24"/>
              </w:rPr>
              <w:t>2.2</w:t>
            </w:r>
            <w:r>
              <w:rPr>
                <w:rFonts w:ascii="宋体" w:hAnsi="宋体" w:cs="微软雅黑"/>
                <w:bCs/>
                <w:color w:val="000000"/>
                <w:sz w:val="24"/>
              </w:rPr>
              <w:t>服务承诺</w:t>
            </w:r>
          </w:p>
          <w:p>
            <w:pPr>
              <w:widowControl/>
              <w:adjustRightInd w:val="0"/>
              <w:snapToGrid w:val="0"/>
              <w:spacing w:line="360" w:lineRule="auto"/>
              <w:jc w:val="left"/>
              <w:rPr>
                <w:rFonts w:ascii="宋体" w:hAnsi="宋体" w:cs="微软雅黑"/>
                <w:bCs/>
                <w:color w:val="000000"/>
                <w:sz w:val="24"/>
              </w:rPr>
            </w:pPr>
          </w:p>
        </w:tc>
        <w:tc>
          <w:tcPr>
            <w:tcW w:w="2496" w:type="pct"/>
            <w:gridSpan w:val="2"/>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color w:val="000000"/>
                <w:sz w:val="24"/>
              </w:rPr>
            </w:pPr>
            <w:r>
              <w:rPr>
                <w:rFonts w:hint="eastAsia" w:ascii="宋体" w:hAnsi="宋体"/>
                <w:color w:val="000000"/>
                <w:sz w:val="24"/>
              </w:rPr>
              <w:t>投标人应出具详细的安全保障及服务承诺书，优得6分，良得4分，一般得2分，差得0分</w:t>
            </w:r>
          </w:p>
        </w:tc>
        <w:tc>
          <w:tcPr>
            <w:tcW w:w="445" w:type="pc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cs="微软雅黑"/>
                <w:bCs/>
                <w:color w:val="000000"/>
                <w:sz w:val="24"/>
              </w:rPr>
              <w:t>6分</w:t>
            </w:r>
          </w:p>
          <w:p>
            <w:pPr>
              <w:adjustRightInd w:val="0"/>
              <w:snapToGrid w:val="0"/>
              <w:spacing w:line="360" w:lineRule="auto"/>
              <w:jc w:val="left"/>
              <w:rPr>
                <w:rFonts w:ascii="宋体" w:hAnsi="宋体" w:cs="微软雅黑"/>
                <w:bCs/>
                <w:color w:val="000000"/>
                <w:sz w:val="24"/>
              </w:rPr>
            </w:pPr>
          </w:p>
        </w:tc>
        <w:tc>
          <w:tcPr>
            <w:tcW w:w="427" w:type="pct"/>
            <w:vMerge w:val="continue"/>
            <w:tcBorders>
              <w:left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58"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3</w:t>
            </w:r>
          </w:p>
        </w:tc>
        <w:tc>
          <w:tcPr>
            <w:tcW w:w="703" w:type="pct"/>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宋体" w:hAnsi="宋体" w:cs="微软雅黑"/>
                <w:color w:val="000000"/>
                <w:sz w:val="24"/>
              </w:rPr>
            </w:pPr>
            <w:r>
              <w:rPr>
                <w:rFonts w:hint="eastAsia" w:ascii="宋体" w:hAnsi="宋体" w:cs="微软雅黑"/>
                <w:color w:val="000000"/>
                <w:sz w:val="24"/>
              </w:rPr>
              <w:t>企业实力（20分）</w:t>
            </w:r>
          </w:p>
          <w:p>
            <w:pPr>
              <w:adjustRightInd w:val="0"/>
              <w:snapToGrid w:val="0"/>
              <w:spacing w:line="360" w:lineRule="auto"/>
              <w:rPr>
                <w:rFonts w:ascii="宋体" w:hAnsi="宋体" w:cs="微软雅黑"/>
                <w:color w:val="000000"/>
                <w:sz w:val="24"/>
              </w:rPr>
            </w:pPr>
          </w:p>
        </w:tc>
        <w:tc>
          <w:tcPr>
            <w:tcW w:w="1115" w:type="pct"/>
            <w:gridSpan w:val="2"/>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sz w:val="24"/>
              </w:rPr>
              <w:t>3.1保险</w:t>
            </w:r>
          </w:p>
          <w:p>
            <w:pPr>
              <w:widowControl/>
              <w:adjustRightInd w:val="0"/>
              <w:snapToGrid w:val="0"/>
              <w:spacing w:line="360" w:lineRule="auto"/>
              <w:jc w:val="left"/>
              <w:rPr>
                <w:rFonts w:ascii="宋体" w:hAnsi="宋体" w:cs="微软雅黑"/>
                <w:bCs/>
                <w:color w:val="000000"/>
                <w:sz w:val="24"/>
              </w:rPr>
            </w:pPr>
          </w:p>
        </w:tc>
        <w:tc>
          <w:tcPr>
            <w:tcW w:w="1952" w:type="pct"/>
            <w:tcBorders>
              <w:top w:val="single" w:color="auto" w:sz="4" w:space="0"/>
              <w:left w:val="single" w:color="auto" w:sz="4" w:space="0"/>
              <w:right w:val="single" w:color="auto" w:sz="4" w:space="0"/>
            </w:tcBorders>
            <w:vAlign w:val="center"/>
          </w:tcPr>
          <w:p>
            <w:pPr>
              <w:rPr>
                <w:rFonts w:ascii="宋体" w:hAnsi="宋体"/>
                <w:sz w:val="24"/>
              </w:rPr>
            </w:pPr>
            <w:r>
              <w:rPr>
                <w:rFonts w:hint="eastAsia" w:ascii="宋体" w:hAnsi="宋体"/>
                <w:sz w:val="24"/>
              </w:rPr>
              <w:t>投标人必须参保旅行社责任保险，游客的旅游意外险保额20万元/人得3分，在此基础上，保额每递增5万元，加1分，最多加3分。</w:t>
            </w:r>
          </w:p>
        </w:tc>
        <w:tc>
          <w:tcPr>
            <w:tcW w:w="445" w:type="pct"/>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微软雅黑"/>
                <w:bCs/>
                <w:color w:val="000000"/>
                <w:sz w:val="24"/>
              </w:rPr>
            </w:pPr>
            <w:r>
              <w:rPr>
                <w:rFonts w:hint="eastAsia" w:ascii="宋体" w:hAnsi="宋体" w:cs="微软雅黑"/>
                <w:bCs/>
                <w:color w:val="000000"/>
                <w:sz w:val="24"/>
              </w:rPr>
              <w:t>6分</w:t>
            </w:r>
          </w:p>
        </w:tc>
        <w:tc>
          <w:tcPr>
            <w:tcW w:w="427"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8" w:type="pct"/>
            <w:vMerge w:val="continue"/>
            <w:tcBorders>
              <w:left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color w:val="000000"/>
                <w:sz w:val="24"/>
              </w:rPr>
            </w:pPr>
          </w:p>
        </w:tc>
        <w:tc>
          <w:tcPr>
            <w:tcW w:w="703" w:type="pct"/>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cs="微软雅黑"/>
                <w:color w:val="000000"/>
                <w:sz w:val="24"/>
              </w:rPr>
            </w:pPr>
          </w:p>
        </w:tc>
        <w:tc>
          <w:tcPr>
            <w:tcW w:w="1115" w:type="pct"/>
            <w:gridSpan w:val="2"/>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sz w:val="24"/>
              </w:rPr>
            </w:pPr>
            <w:r>
              <w:rPr>
                <w:rFonts w:hint="eastAsia" w:ascii="宋体" w:hAnsi="宋体"/>
                <w:sz w:val="24"/>
              </w:rPr>
              <w:t>3.2旅行社星级</w:t>
            </w:r>
          </w:p>
        </w:tc>
        <w:tc>
          <w:tcPr>
            <w:tcW w:w="1952" w:type="pc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sz w:val="24"/>
              </w:rPr>
            </w:pPr>
            <w:r>
              <w:rPr>
                <w:rFonts w:hint="eastAsia" w:ascii="宋体" w:hAnsi="宋体"/>
                <w:sz w:val="24"/>
              </w:rPr>
              <w:t>五星级旅行社得10分，四星级旅行社得5分，其余不得分。</w:t>
            </w:r>
          </w:p>
        </w:tc>
        <w:tc>
          <w:tcPr>
            <w:tcW w:w="445" w:type="pc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sz w:val="24"/>
              </w:rPr>
            </w:pPr>
            <w:r>
              <w:rPr>
                <w:rFonts w:hint="eastAsia" w:ascii="宋体" w:hAnsi="宋体"/>
                <w:sz w:val="24"/>
              </w:rPr>
              <w:t>10分</w:t>
            </w:r>
          </w:p>
        </w:tc>
        <w:tc>
          <w:tcPr>
            <w:tcW w:w="427" w:type="pct"/>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8" w:type="pct"/>
            <w:vMerge w:val="continue"/>
            <w:tcBorders>
              <w:left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color w:val="000000"/>
                <w:sz w:val="24"/>
              </w:rPr>
            </w:pPr>
          </w:p>
        </w:tc>
        <w:tc>
          <w:tcPr>
            <w:tcW w:w="703" w:type="pct"/>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cs="微软雅黑"/>
                <w:color w:val="000000"/>
                <w:sz w:val="24"/>
              </w:rPr>
            </w:pPr>
          </w:p>
        </w:tc>
        <w:tc>
          <w:tcPr>
            <w:tcW w:w="1115" w:type="pct"/>
            <w:gridSpan w:val="2"/>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cs="微软雅黑"/>
                <w:bCs/>
                <w:color w:val="000000"/>
                <w:sz w:val="24"/>
              </w:rPr>
              <w:t>3.3</w:t>
            </w:r>
            <w:r>
              <w:rPr>
                <w:rFonts w:ascii="宋体" w:hAnsi="宋体" w:cs="微软雅黑"/>
                <w:bCs/>
                <w:color w:val="000000"/>
                <w:sz w:val="24"/>
              </w:rPr>
              <w:t>导游资质</w:t>
            </w:r>
          </w:p>
        </w:tc>
        <w:tc>
          <w:tcPr>
            <w:tcW w:w="1952" w:type="pct"/>
            <w:tcBorders>
              <w:left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具有高级导游员证书的得4分，具有中级导游员证书的得2分，其余不得分。</w:t>
            </w:r>
          </w:p>
          <w:p>
            <w:pPr>
              <w:widowControl/>
              <w:adjustRightInd w:val="0"/>
              <w:snapToGrid w:val="0"/>
              <w:spacing w:line="360" w:lineRule="auto"/>
              <w:jc w:val="left"/>
              <w:rPr>
                <w:rFonts w:ascii="宋体" w:hAnsi="宋体" w:cs="微软雅黑"/>
                <w:bCs/>
                <w:color w:val="000000"/>
                <w:sz w:val="24"/>
              </w:rPr>
            </w:pPr>
          </w:p>
        </w:tc>
        <w:tc>
          <w:tcPr>
            <w:tcW w:w="445" w:type="pct"/>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sz w:val="24"/>
              </w:rPr>
            </w:pPr>
            <w:r>
              <w:rPr>
                <w:rFonts w:hint="eastAsia" w:ascii="宋体" w:hAnsi="宋体"/>
                <w:sz w:val="24"/>
              </w:rPr>
              <w:t>4分</w:t>
            </w:r>
          </w:p>
        </w:tc>
        <w:tc>
          <w:tcPr>
            <w:tcW w:w="427" w:type="pct"/>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4</w:t>
            </w:r>
          </w:p>
        </w:tc>
        <w:tc>
          <w:tcPr>
            <w:tcW w:w="7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000000"/>
                <w:sz w:val="24"/>
              </w:rPr>
            </w:pPr>
            <w:r>
              <w:rPr>
                <w:rFonts w:hint="eastAsia" w:ascii="宋体" w:hAnsi="宋体" w:cs="微软雅黑"/>
                <w:bCs/>
                <w:color w:val="000000"/>
                <w:sz w:val="24"/>
              </w:rPr>
              <w:t>成功案例（20</w:t>
            </w:r>
            <w:r>
              <w:rPr>
                <w:rFonts w:hint="eastAsia" w:ascii="宋体" w:hAnsi="宋体" w:cs="微软雅黑"/>
                <w:bCs/>
                <w:color w:val="000000"/>
                <w:sz w:val="24"/>
                <w:lang w:val="en-US" w:eastAsia="zh-CN"/>
              </w:rPr>
              <w:t>分</w:t>
            </w:r>
            <w:bookmarkStart w:id="0" w:name="_GoBack"/>
            <w:bookmarkEnd w:id="0"/>
            <w:r>
              <w:rPr>
                <w:rFonts w:hint="eastAsia" w:ascii="宋体" w:hAnsi="宋体" w:cs="微软雅黑"/>
                <w:bCs/>
                <w:color w:val="000000"/>
                <w:sz w:val="24"/>
              </w:rPr>
              <w:t>）</w:t>
            </w:r>
          </w:p>
        </w:tc>
        <w:tc>
          <w:tcPr>
            <w:tcW w:w="3511" w:type="pct"/>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投标人提供20</w:t>
            </w:r>
            <w:r>
              <w:rPr>
                <w:rFonts w:ascii="宋体" w:hAnsi="宋体"/>
                <w:sz w:val="24"/>
              </w:rPr>
              <w:t>18</w:t>
            </w:r>
            <w:r>
              <w:rPr>
                <w:rFonts w:hint="eastAsia" w:ascii="宋体" w:hAnsi="宋体"/>
                <w:sz w:val="24"/>
              </w:rPr>
              <w:t>年以来承接与本项目类似的案列。须提供合同复印件，团队相关资料。每提供一个案例得5分，最多得20分。</w:t>
            </w:r>
          </w:p>
          <w:p>
            <w:pPr>
              <w:widowControl/>
              <w:adjustRightInd w:val="0"/>
              <w:snapToGrid w:val="0"/>
              <w:spacing w:line="360" w:lineRule="auto"/>
              <w:jc w:val="left"/>
              <w:rPr>
                <w:rFonts w:ascii="宋体" w:hAnsi="宋体" w:cs="微软雅黑"/>
                <w:bCs/>
                <w:color w:val="000000"/>
                <w:sz w:val="24"/>
              </w:rPr>
            </w:pPr>
          </w:p>
        </w:tc>
        <w:tc>
          <w:tcPr>
            <w:tcW w:w="42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58"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宋体" w:hAnsi="宋体" w:cs="微软雅黑"/>
                <w:color w:val="000000"/>
                <w:sz w:val="24"/>
              </w:rPr>
            </w:pPr>
            <w:r>
              <w:rPr>
                <w:rFonts w:hint="eastAsia" w:ascii="宋体" w:hAnsi="宋体" w:cs="微软雅黑"/>
                <w:color w:val="000000"/>
                <w:sz w:val="24"/>
              </w:rPr>
              <w:t>5</w:t>
            </w:r>
          </w:p>
        </w:tc>
        <w:tc>
          <w:tcPr>
            <w:tcW w:w="703"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bCs/>
                <w:color w:val="000000"/>
                <w:sz w:val="24"/>
              </w:rPr>
            </w:pPr>
            <w:r>
              <w:rPr>
                <w:rFonts w:hint="eastAsia" w:ascii="宋体" w:hAnsi="宋体" w:cs="微软雅黑"/>
                <w:bCs/>
                <w:color w:val="000000"/>
                <w:sz w:val="24"/>
              </w:rPr>
              <w:t>服务方案</w:t>
            </w:r>
          </w:p>
          <w:p>
            <w:pPr>
              <w:widowControl/>
              <w:adjustRightInd w:val="0"/>
              <w:snapToGrid w:val="0"/>
              <w:spacing w:line="360" w:lineRule="auto"/>
              <w:jc w:val="center"/>
              <w:rPr>
                <w:rFonts w:ascii="宋体" w:hAnsi="宋体" w:cs="微软雅黑"/>
                <w:bCs/>
                <w:color w:val="000000"/>
                <w:sz w:val="24"/>
              </w:rPr>
            </w:pPr>
            <w:r>
              <w:rPr>
                <w:rFonts w:hint="eastAsia" w:ascii="宋体" w:hAnsi="宋体" w:cs="微软雅黑"/>
                <w:bCs/>
                <w:color w:val="000000"/>
                <w:sz w:val="24"/>
              </w:rPr>
              <w:t>（20分）</w:t>
            </w:r>
          </w:p>
        </w:tc>
        <w:tc>
          <w:tcPr>
            <w:tcW w:w="1115"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5.1宾馆情况</w:t>
            </w:r>
          </w:p>
          <w:p>
            <w:pPr>
              <w:ind w:firstLine="480" w:firstLineChars="200"/>
              <w:rPr>
                <w:rFonts w:ascii="宋体" w:hAnsi="宋体"/>
                <w:sz w:val="24"/>
              </w:rPr>
            </w:pPr>
          </w:p>
        </w:tc>
        <w:tc>
          <w:tcPr>
            <w:tcW w:w="19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sz w:val="24"/>
              </w:rPr>
              <w:t>标书中需注明宾馆具体名称，提供宾馆及标间简介与照片，优得8分，良得5分，一般得2分，差得0分。</w:t>
            </w:r>
          </w:p>
        </w:tc>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cs="微软雅黑"/>
                <w:bCs/>
                <w:color w:val="000000"/>
                <w:sz w:val="24"/>
              </w:rPr>
              <w:t>8分</w:t>
            </w:r>
          </w:p>
        </w:tc>
        <w:tc>
          <w:tcPr>
            <w:tcW w:w="427"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 w:type="pct"/>
            <w:vMerge w:val="continue"/>
            <w:tcBorders>
              <w:left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color w:val="000000"/>
                <w:sz w:val="24"/>
              </w:rPr>
            </w:pPr>
          </w:p>
        </w:tc>
        <w:tc>
          <w:tcPr>
            <w:tcW w:w="703" w:type="pct"/>
            <w:vMerge w:val="continue"/>
            <w:tcBorders>
              <w:left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bCs/>
                <w:color w:val="000000"/>
                <w:sz w:val="24"/>
              </w:rPr>
            </w:pPr>
          </w:p>
        </w:tc>
        <w:tc>
          <w:tcPr>
            <w:tcW w:w="1115"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5.2餐食情况</w:t>
            </w:r>
          </w:p>
          <w:p>
            <w:pPr>
              <w:ind w:firstLine="480" w:firstLineChars="200"/>
              <w:rPr>
                <w:rFonts w:ascii="宋体" w:hAnsi="宋体"/>
                <w:sz w:val="24"/>
              </w:rPr>
            </w:pPr>
          </w:p>
        </w:tc>
        <w:tc>
          <w:tcPr>
            <w:tcW w:w="195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sz w:val="24"/>
              </w:rPr>
              <w:t>提供餐食标准及用餐环境简介，优得8分，良好得6分，一般得4分，差得0分。</w:t>
            </w:r>
          </w:p>
        </w:tc>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微软雅黑"/>
                <w:bCs/>
                <w:color w:val="000000"/>
                <w:sz w:val="24"/>
              </w:rPr>
            </w:pPr>
            <w:r>
              <w:rPr>
                <w:rFonts w:hint="eastAsia" w:ascii="宋体" w:hAnsi="宋体" w:cs="微软雅黑"/>
                <w:bCs/>
                <w:color w:val="000000"/>
                <w:sz w:val="24"/>
              </w:rPr>
              <w:t>8分</w:t>
            </w:r>
          </w:p>
        </w:tc>
        <w:tc>
          <w:tcPr>
            <w:tcW w:w="42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color w:val="000000"/>
                <w:sz w:val="24"/>
              </w:rPr>
            </w:pPr>
          </w:p>
        </w:tc>
        <w:tc>
          <w:tcPr>
            <w:tcW w:w="703"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bCs/>
                <w:color w:val="000000"/>
                <w:sz w:val="24"/>
              </w:rPr>
            </w:pPr>
          </w:p>
        </w:tc>
        <w:tc>
          <w:tcPr>
            <w:tcW w:w="1115"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5.3车辆情况</w:t>
            </w:r>
          </w:p>
          <w:p>
            <w:pPr>
              <w:ind w:firstLine="480" w:firstLineChars="200"/>
              <w:rPr>
                <w:rFonts w:ascii="宋体" w:hAnsi="宋体"/>
                <w:sz w:val="24"/>
              </w:rPr>
            </w:pPr>
          </w:p>
        </w:tc>
        <w:tc>
          <w:tcPr>
            <w:tcW w:w="195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提供车队简介，车况照片等资料。优得4分，一般得2分，差得0分。</w:t>
            </w:r>
          </w:p>
        </w:tc>
        <w:tc>
          <w:tcPr>
            <w:tcW w:w="44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4分</w:t>
            </w:r>
          </w:p>
        </w:tc>
        <w:tc>
          <w:tcPr>
            <w:tcW w:w="42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cs="微软雅黑"/>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3" w:type="pct"/>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000000"/>
                <w:sz w:val="24"/>
              </w:rPr>
            </w:pPr>
            <w:r>
              <w:rPr>
                <w:rFonts w:hint="eastAsia" w:ascii="宋体" w:hAnsi="宋体" w:cs="微软雅黑"/>
                <w:bCs/>
                <w:color w:val="000000"/>
                <w:sz w:val="24"/>
              </w:rPr>
              <w:t>合   计</w:t>
            </w:r>
          </w:p>
        </w:tc>
        <w:tc>
          <w:tcPr>
            <w:tcW w:w="42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微软雅黑"/>
                <w:bCs/>
                <w:color w:val="000000"/>
                <w:sz w:val="24"/>
              </w:rPr>
            </w:pPr>
          </w:p>
        </w:tc>
      </w:tr>
    </w:tbl>
    <w:p>
      <w:pPr>
        <w:pStyle w:val="11"/>
        <w:ind w:firstLine="480"/>
        <w:rPr>
          <w:rFonts w:hint="eastAsia" w:ascii="宋体" w:hAnsi="宋体"/>
          <w:sz w:val="24"/>
          <w:lang w:val="zh-CN"/>
        </w:rPr>
      </w:pPr>
    </w:p>
    <w:p>
      <w:pPr>
        <w:pStyle w:val="11"/>
        <w:ind w:firstLine="480"/>
        <w:rPr>
          <w:rFonts w:hint="eastAsia" w:ascii="宋体" w:hAnsi="宋体"/>
          <w:sz w:val="24"/>
          <w:lang w:val="zh-CN"/>
        </w:rPr>
      </w:pPr>
      <w:r>
        <w:rPr>
          <w:rFonts w:hint="eastAsia" w:ascii="宋体" w:hAnsi="宋体"/>
          <w:sz w:val="24"/>
        </w:rPr>
        <w:t>备注：所有证明、报告、业绩材料需提供有效复印件（扫描件）并加盖投标人公章、原件备查</w:t>
      </w:r>
    </w:p>
    <w:p>
      <w:pPr>
        <w:pStyle w:val="11"/>
        <w:ind w:firstLine="480"/>
        <w:rPr>
          <w:rFonts w:hint="eastAsia" w:ascii="宋体" w:hAnsi="宋体"/>
          <w:sz w:val="24"/>
          <w:lang w:val="zh-CN"/>
        </w:rPr>
      </w:pPr>
    </w:p>
    <w:p>
      <w:pPr>
        <w:pStyle w:val="11"/>
        <w:ind w:firstLine="480"/>
        <w:rPr>
          <w:rFonts w:hint="eastAsia" w:ascii="宋体" w:hAnsi="宋体"/>
          <w:sz w:val="24"/>
          <w:lang w:val="zh-CN"/>
        </w:rPr>
      </w:pPr>
    </w:p>
    <w:p>
      <w:pPr>
        <w:pStyle w:val="11"/>
        <w:ind w:firstLine="480"/>
        <w:rPr>
          <w:rFonts w:hint="eastAsia" w:ascii="宋体" w:hAnsi="宋体"/>
          <w:sz w:val="24"/>
          <w:lang w:val="zh-CN"/>
        </w:rPr>
      </w:pPr>
    </w:p>
    <w:p>
      <w:pPr>
        <w:pStyle w:val="11"/>
        <w:ind w:firstLine="480"/>
        <w:rPr>
          <w:rFonts w:hint="eastAsia" w:ascii="宋体" w:hAnsi="宋体"/>
          <w:sz w:val="24"/>
          <w:lang w:val="zh-CN"/>
        </w:rPr>
      </w:pPr>
    </w:p>
    <w:p>
      <w:pPr>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MjI5N2Y0NDU0NGNiZmNiZDI0ZWY1ZGY3MTE1ZjEifQ=="/>
  </w:docVars>
  <w:rsids>
    <w:rsidRoot w:val="00484A5A"/>
    <w:rsid w:val="00484A5A"/>
    <w:rsid w:val="37F4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paragraph" w:styleId="2">
    <w:name w:val="heading 1"/>
    <w:basedOn w:val="1"/>
    <w:next w:val="1"/>
    <w:link w:val="16"/>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7"/>
    <w:unhideWhenUsed/>
    <w:qFormat/>
    <w:uiPriority w:val="0"/>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1"/>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22"/>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Normal Indent"/>
    <w:basedOn w:val="1"/>
    <w:semiHidden/>
    <w:unhideWhenUsed/>
    <w:uiPriority w:val="99"/>
    <w:pPr>
      <w:ind w:firstLine="420" w:firstLineChars="200"/>
    </w:pPr>
  </w:style>
  <w:style w:type="paragraph" w:styleId="12">
    <w:name w:val="Subtitle"/>
    <w:basedOn w:val="1"/>
    <w:next w:val="1"/>
    <w:link w:val="26"/>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6">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uiPriority w:val="9"/>
    <w:rPr>
      <w:rFonts w:cstheme="majorBidi"/>
      <w:color w:val="104862" w:themeColor="accent1" w:themeShade="BF"/>
      <w:sz w:val="28"/>
      <w:szCs w:val="28"/>
    </w:rPr>
  </w:style>
  <w:style w:type="character" w:customStyle="1" w:styleId="20">
    <w:name w:val="标题 5 字符"/>
    <w:basedOn w:val="15"/>
    <w:link w:val="6"/>
    <w:semiHidden/>
    <w:uiPriority w:val="9"/>
    <w:rPr>
      <w:rFonts w:cstheme="majorBidi"/>
      <w:color w:val="104862" w:themeColor="accent1" w:themeShade="BF"/>
      <w:sz w:val="24"/>
    </w:rPr>
  </w:style>
  <w:style w:type="character" w:customStyle="1" w:styleId="21">
    <w:name w:val="标题 6 字符"/>
    <w:basedOn w:val="15"/>
    <w:link w:val="7"/>
    <w:semiHidden/>
    <w:uiPriority w:val="9"/>
    <w:rPr>
      <w:rFonts w:cstheme="majorBidi"/>
      <w:b/>
      <w:bCs/>
      <w:color w:val="104862" w:themeColor="accent1" w:themeShade="BF"/>
    </w:rPr>
  </w:style>
  <w:style w:type="character" w:customStyle="1" w:styleId="22">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32">
    <w:name w:val="明显引用 字符"/>
    <w:basedOn w:val="15"/>
    <w:link w:val="31"/>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标题 2 Char1"/>
    <w:locked/>
    <w:uiPriority w:val="0"/>
    <w:rPr>
      <w:rFonts w:ascii="Arial" w:hAnsi="Arial" w:eastAsia="幼圆"/>
      <w:b/>
      <w:sz w:val="44"/>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875</Characters>
  <Lines>6</Lines>
  <Paragraphs>1</Paragraphs>
  <TotalTime>9</TotalTime>
  <ScaleCrop>false</ScaleCrop>
  <LinksUpToDate>false</LinksUpToDate>
  <CharactersWithSpaces>881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2024-06-02T09:15:00Z</dcterms:created>
  <dc:creator>Heyu Lu</dc:creator>
  <cp:lastModifiedBy>蔷薇的信仰</cp:lastModifiedBy>
  <dcterms:modified xsi:type="dcterms:W3CDTF">2024-06-03T01:27:20Z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81A8635E331C49A395595C4712247C88_12</vt:lpwstr>
  </property>
</Properties>
</file>